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8"/>
        <w:ind w:left="141" w:firstLine="0"/>
      </w:pPr>
      <w:r>
        <w:rPr>
          <w:spacing w:val="-4"/>
        </w:rPr>
        <w:t>CCTP</w:t>
      </w:r>
    </w:p>
    <w:p>
      <w:pPr>
        <w:pStyle w:val="Title"/>
        <w:rPr>
          <w:u w:val="none"/>
        </w:rPr>
      </w:pPr>
      <w:r>
        <w:rPr>
          <w:u w:val="single"/>
        </w:rPr>
        <w:t>Dalles</w:t>
      </w:r>
      <w:r>
        <w:rPr>
          <w:spacing w:val="-2"/>
          <w:u w:val="single"/>
        </w:rPr>
        <w:t> </w:t>
      </w:r>
      <w:r>
        <w:rPr>
          <w:u w:val="single"/>
        </w:rPr>
        <w:t>caoutchouc</w:t>
      </w:r>
      <w:r>
        <w:rPr>
          <w:spacing w:val="-1"/>
          <w:u w:val="single"/>
        </w:rPr>
        <w:t> </w:t>
      </w:r>
      <w:r>
        <w:rPr>
          <w:u w:val="single"/>
        </w:rPr>
        <w:t>pour</w:t>
      </w:r>
      <w:r>
        <w:rPr>
          <w:spacing w:val="1"/>
          <w:u w:val="single"/>
        </w:rPr>
        <w:t> </w:t>
      </w:r>
      <w:r>
        <w:rPr>
          <w:u w:val="single"/>
        </w:rPr>
        <w:t>pratique</w:t>
      </w:r>
      <w:r>
        <w:rPr>
          <w:spacing w:val="1"/>
          <w:u w:val="single"/>
        </w:rPr>
        <w:t> </w:t>
      </w:r>
      <w:r>
        <w:rPr>
          <w:spacing w:val="-2"/>
          <w:u w:val="single"/>
        </w:rPr>
        <w:t>crossfit</w:t>
      </w:r>
    </w:p>
    <w:p>
      <w:pPr>
        <w:pStyle w:val="BodyText"/>
        <w:spacing w:before="200"/>
        <w:ind w:left="141" w:right="139" w:firstLine="0"/>
      </w:pPr>
      <w:r>
        <w:rPr/>
        <w:t>Fourniture et pose de dalles caoutchouc de type Gerflor Powershock constituées de la façon suivante :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199" w:after="0"/>
        <w:ind w:left="287" w:right="0" w:hanging="146"/>
        <w:jc w:val="left"/>
        <w:rPr>
          <w:sz w:val="24"/>
        </w:rPr>
      </w:pPr>
      <w:r>
        <w:rPr>
          <w:sz w:val="24"/>
        </w:rPr>
        <w:t>Dalles uniformes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50cm</w:t>
      </w:r>
      <w:r>
        <w:rPr>
          <w:spacing w:val="-1"/>
          <w:sz w:val="24"/>
        </w:rPr>
        <w:t> </w:t>
      </w:r>
      <w:r>
        <w:rPr>
          <w:sz w:val="24"/>
        </w:rPr>
        <w:t>X</w:t>
      </w:r>
      <w:r>
        <w:rPr>
          <w:spacing w:val="1"/>
          <w:sz w:val="24"/>
        </w:rPr>
        <w:t> </w:t>
      </w:r>
      <w:r>
        <w:rPr>
          <w:spacing w:val="-4"/>
          <w:sz w:val="24"/>
        </w:rPr>
        <w:t>50cm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201" w:after="0"/>
        <w:ind w:left="287" w:right="0" w:hanging="146"/>
        <w:jc w:val="left"/>
        <w:rPr>
          <w:sz w:val="24"/>
        </w:rPr>
      </w:pPr>
      <w:r>
        <w:rPr>
          <w:sz w:val="24"/>
        </w:rPr>
        <w:t>Epaisseur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30mm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200" w:after="0"/>
        <w:ind w:left="287" w:right="0" w:hanging="146"/>
        <w:jc w:val="left"/>
        <w:rPr>
          <w:sz w:val="24"/>
        </w:rPr>
      </w:pPr>
      <w:r>
        <w:rPr>
          <w:sz w:val="24"/>
        </w:rPr>
        <w:t>Classement</w:t>
      </w:r>
      <w:r>
        <w:rPr>
          <w:spacing w:val="-1"/>
          <w:sz w:val="24"/>
        </w:rPr>
        <w:t> </w:t>
      </w:r>
      <w:r>
        <w:rPr>
          <w:sz w:val="24"/>
        </w:rPr>
        <w:t>feu</w:t>
      </w:r>
      <w:r>
        <w:rPr>
          <w:spacing w:val="1"/>
          <w:sz w:val="24"/>
        </w:rPr>
        <w:t> </w:t>
      </w:r>
      <w:r>
        <w:rPr>
          <w:sz w:val="24"/>
        </w:rPr>
        <w:t>(EN</w:t>
      </w:r>
      <w:r>
        <w:rPr>
          <w:spacing w:val="-2"/>
          <w:sz w:val="24"/>
        </w:rPr>
        <w:t> </w:t>
      </w:r>
      <w:r>
        <w:rPr>
          <w:sz w:val="24"/>
        </w:rPr>
        <w:t>13501-1) :</w:t>
      </w:r>
      <w:r>
        <w:rPr>
          <w:spacing w:val="1"/>
          <w:sz w:val="24"/>
        </w:rPr>
        <w:t> </w:t>
      </w:r>
      <w:r>
        <w:rPr>
          <w:sz w:val="24"/>
        </w:rPr>
        <w:t>Cfl</w:t>
      </w:r>
      <w:r>
        <w:rPr>
          <w:spacing w:val="-2"/>
          <w:sz w:val="24"/>
        </w:rPr>
        <w:t> </w:t>
      </w:r>
      <w:r>
        <w:rPr>
          <w:spacing w:val="-5"/>
          <w:sz w:val="24"/>
        </w:rPr>
        <w:t>S1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199" w:after="0"/>
        <w:ind w:left="287" w:right="0" w:hanging="146"/>
        <w:jc w:val="left"/>
        <w:rPr>
          <w:sz w:val="24"/>
        </w:rPr>
      </w:pPr>
      <w:r>
        <w:rPr>
          <w:sz w:val="24"/>
        </w:rPr>
        <w:t>Isolation</w:t>
      </w:r>
      <w:r>
        <w:rPr>
          <w:spacing w:val="-3"/>
          <w:sz w:val="24"/>
        </w:rPr>
        <w:t> </w:t>
      </w:r>
      <w:r>
        <w:rPr>
          <w:sz w:val="24"/>
        </w:rPr>
        <w:t>acoustique</w:t>
      </w:r>
      <w:r>
        <w:rPr>
          <w:spacing w:val="2"/>
          <w:sz w:val="24"/>
        </w:rPr>
        <w:t> </w:t>
      </w:r>
      <w:r>
        <w:rPr>
          <w:sz w:val="24"/>
        </w:rPr>
        <w:t>(EN ISO 717/2)</w:t>
      </w:r>
      <w:r>
        <w:rPr>
          <w:spacing w:val="-3"/>
          <w:sz w:val="24"/>
        </w:rPr>
        <w:t> </w:t>
      </w:r>
      <w:r>
        <w:rPr>
          <w:sz w:val="24"/>
        </w:rPr>
        <w:t>: </w:t>
      </w:r>
      <w:r>
        <w:rPr>
          <w:spacing w:val="-4"/>
          <w:sz w:val="24"/>
        </w:rPr>
        <w:t>26dB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202" w:after="0"/>
        <w:ind w:left="287" w:right="0" w:hanging="146"/>
        <w:jc w:val="left"/>
        <w:rPr>
          <w:sz w:val="24"/>
        </w:rPr>
      </w:pPr>
      <w:r>
        <w:rPr>
          <w:sz w:val="24"/>
        </w:rPr>
        <w:t>Résistance</w:t>
      </w:r>
      <w:r>
        <w:rPr>
          <w:spacing w:val="-4"/>
          <w:sz w:val="24"/>
        </w:rPr>
        <w:t> </w:t>
      </w:r>
      <w:r>
        <w:rPr>
          <w:sz w:val="24"/>
        </w:rPr>
        <w:t>au poinçonnement</w:t>
      </w:r>
      <w:r>
        <w:rPr>
          <w:spacing w:val="1"/>
          <w:sz w:val="24"/>
        </w:rPr>
        <w:t> </w:t>
      </w:r>
      <w:r>
        <w:rPr>
          <w:sz w:val="24"/>
        </w:rPr>
        <w:t>(EN</w:t>
      </w:r>
      <w:r>
        <w:rPr>
          <w:spacing w:val="-1"/>
          <w:sz w:val="24"/>
        </w:rPr>
        <w:t> </w:t>
      </w:r>
      <w:r>
        <w:rPr>
          <w:sz w:val="24"/>
        </w:rPr>
        <w:t>1516) :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0,12mm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199" w:after="0"/>
        <w:ind w:left="287" w:right="0" w:hanging="146"/>
        <w:jc w:val="left"/>
        <w:rPr>
          <w:sz w:val="24"/>
        </w:rPr>
      </w:pPr>
      <w:r>
        <w:rPr>
          <w:sz w:val="24"/>
        </w:rPr>
        <w:t>Absorption de chocs</w:t>
      </w:r>
      <w:r>
        <w:rPr>
          <w:spacing w:val="-2"/>
          <w:sz w:val="24"/>
        </w:rPr>
        <w:t> </w:t>
      </w:r>
      <w:r>
        <w:rPr>
          <w:sz w:val="24"/>
        </w:rPr>
        <w:t>(EN14808) :</w:t>
      </w:r>
      <w:r>
        <w:rPr>
          <w:spacing w:val="1"/>
          <w:sz w:val="24"/>
        </w:rPr>
        <w:t> </w:t>
      </w:r>
      <w:r>
        <w:rPr>
          <w:spacing w:val="-5"/>
          <w:sz w:val="24"/>
        </w:rPr>
        <w:t>49%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199" w:after="0"/>
        <w:ind w:left="287" w:right="0" w:hanging="146"/>
        <w:jc w:val="left"/>
        <w:rPr>
          <w:sz w:val="24"/>
        </w:rPr>
      </w:pPr>
      <w:r>
        <w:rPr>
          <w:sz w:val="24"/>
        </w:rPr>
        <w:t>Les</w:t>
      </w:r>
      <w:r>
        <w:rPr>
          <w:spacing w:val="-2"/>
          <w:sz w:val="24"/>
        </w:rPr>
        <w:t> </w:t>
      </w:r>
      <w:r>
        <w:rPr>
          <w:sz w:val="24"/>
        </w:rPr>
        <w:t>dalles</w:t>
      </w:r>
      <w:r>
        <w:rPr>
          <w:spacing w:val="-1"/>
          <w:sz w:val="24"/>
        </w:rPr>
        <w:t> </w:t>
      </w:r>
      <w:r>
        <w:rPr>
          <w:sz w:val="24"/>
        </w:rPr>
        <w:t>devront</w:t>
      </w:r>
      <w:r>
        <w:rPr>
          <w:spacing w:val="-1"/>
          <w:sz w:val="24"/>
        </w:rPr>
        <w:t> </w:t>
      </w:r>
      <w:r>
        <w:rPr>
          <w:sz w:val="24"/>
        </w:rPr>
        <w:t>être accompagnées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profilés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finition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240" w:lineRule="auto" w:before="202" w:after="0"/>
        <w:ind w:left="141" w:right="256" w:firstLine="0"/>
        <w:jc w:val="left"/>
        <w:rPr>
          <w:sz w:val="24"/>
        </w:rPr>
      </w:pPr>
      <w:r>
        <w:rPr>
          <w:sz w:val="24"/>
        </w:rPr>
        <w:t>les</w:t>
      </w:r>
      <w:r>
        <w:rPr>
          <w:spacing w:val="-3"/>
          <w:sz w:val="24"/>
        </w:rPr>
        <w:t> </w:t>
      </w:r>
      <w:r>
        <w:rPr>
          <w:sz w:val="24"/>
        </w:rPr>
        <w:t>dalles</w:t>
      </w:r>
      <w:r>
        <w:rPr>
          <w:spacing w:val="-1"/>
          <w:sz w:val="24"/>
        </w:rPr>
        <w:t> </w:t>
      </w:r>
      <w:r>
        <w:rPr>
          <w:sz w:val="24"/>
        </w:rPr>
        <w:t>seront</w:t>
      </w:r>
      <w:r>
        <w:rPr>
          <w:spacing w:val="-3"/>
          <w:sz w:val="24"/>
        </w:rPr>
        <w:t> </w:t>
      </w:r>
      <w:r>
        <w:rPr>
          <w:sz w:val="24"/>
        </w:rPr>
        <w:t>livrées</w:t>
      </w:r>
      <w:r>
        <w:rPr>
          <w:spacing w:val="-1"/>
          <w:sz w:val="24"/>
        </w:rPr>
        <w:t> </w:t>
      </w:r>
      <w:r>
        <w:rPr>
          <w:sz w:val="24"/>
        </w:rPr>
        <w:t>avec</w:t>
      </w:r>
      <w:r>
        <w:rPr>
          <w:spacing w:val="-3"/>
          <w:sz w:val="24"/>
        </w:rPr>
        <w:t> </w:t>
      </w:r>
      <w:r>
        <w:rPr>
          <w:sz w:val="24"/>
        </w:rPr>
        <w:t>des</w:t>
      </w:r>
      <w:r>
        <w:rPr>
          <w:spacing w:val="-3"/>
          <w:sz w:val="24"/>
        </w:rPr>
        <w:t> </w:t>
      </w:r>
      <w:r>
        <w:rPr>
          <w:sz w:val="24"/>
        </w:rPr>
        <w:t>connecteurs</w:t>
      </w:r>
      <w:r>
        <w:rPr>
          <w:spacing w:val="-3"/>
          <w:sz w:val="24"/>
        </w:rPr>
        <w:t> </w:t>
      </w:r>
      <w:r>
        <w:rPr>
          <w:sz w:val="24"/>
        </w:rPr>
        <w:t>pour</w:t>
      </w:r>
      <w:r>
        <w:rPr>
          <w:spacing w:val="-5"/>
          <w:sz w:val="24"/>
        </w:rPr>
        <w:t> </w:t>
      </w:r>
      <w:r>
        <w:rPr>
          <w:sz w:val="24"/>
        </w:rPr>
        <w:t>assurer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bonne tenue</w:t>
      </w:r>
      <w:r>
        <w:rPr>
          <w:spacing w:val="-3"/>
          <w:sz w:val="24"/>
        </w:rPr>
        <w:t> </w:t>
      </w:r>
      <w:r>
        <w:rPr>
          <w:sz w:val="24"/>
        </w:rPr>
        <w:t>dans</w:t>
      </w:r>
      <w:r>
        <w:rPr>
          <w:spacing w:val="-1"/>
          <w:sz w:val="24"/>
        </w:rPr>
        <w:t> </w:t>
      </w:r>
      <w:r>
        <w:rPr>
          <w:sz w:val="24"/>
        </w:rPr>
        <w:t>le temps du produit.</w:t>
      </w:r>
    </w:p>
    <w:p>
      <w:pPr>
        <w:pStyle w:val="BodyText"/>
        <w:ind w:left="141" w:firstLine="0"/>
      </w:pPr>
      <w:r>
        <w:rPr/>
        <w:t>Pose</w:t>
      </w:r>
      <w:r>
        <w:rPr>
          <w:spacing w:val="-1"/>
        </w:rPr>
        <w:t> </w:t>
      </w:r>
      <w:r>
        <w:rPr/>
        <w:t>selon</w:t>
      </w:r>
      <w:r>
        <w:rPr>
          <w:spacing w:val="-2"/>
        </w:rPr>
        <w:t> </w:t>
      </w:r>
      <w:r>
        <w:rPr/>
        <w:t>préconisations</w:t>
      </w:r>
      <w:r>
        <w:rPr>
          <w:spacing w:val="-1"/>
        </w:rPr>
        <w:t> </w:t>
      </w:r>
      <w:r>
        <w:rPr/>
        <w:t>du </w:t>
      </w:r>
      <w:r>
        <w:rPr>
          <w:spacing w:val="-2"/>
        </w:rPr>
        <w:t>fabricant.</w:t>
      </w:r>
    </w:p>
    <w:sectPr>
      <w:type w:val="continuous"/>
      <w:pgSz w:w="11910" w:h="16840"/>
      <w:pgMar w:top="13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41" w:hanging="14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61" w:hanging="14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83" w:hanging="14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904" w:hanging="14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826" w:hanging="14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4748" w:hanging="14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669" w:hanging="14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591" w:hanging="14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13" w:hanging="147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99"/>
      <w:ind w:left="287" w:hanging="146"/>
    </w:pPr>
    <w:rPr>
      <w:rFonts w:ascii="Arial MT" w:hAnsi="Arial MT" w:eastAsia="Arial MT" w:cs="Arial MT"/>
      <w:sz w:val="24"/>
      <w:szCs w:val="24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01"/>
      <w:ind w:left="141"/>
    </w:pPr>
    <w:rPr>
      <w:rFonts w:ascii="Arial" w:hAnsi="Arial" w:eastAsia="Arial" w:cs="Arial"/>
      <w:b/>
      <w:bCs/>
      <w:sz w:val="24"/>
      <w:szCs w:val="24"/>
      <w:u w:val="single" w:color="000000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before="199"/>
      <w:ind w:left="287" w:hanging="146"/>
    </w:pPr>
    <w:rPr>
      <w:rFonts w:ascii="Arial MT" w:hAnsi="Arial MT" w:eastAsia="Arial MT" w:cs="Arial MT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antoine.gay</dc:creator>
  <dc:title>Microsoft Word - CCTP</dc:title>
  <dcterms:created xsi:type="dcterms:W3CDTF">2026-02-23T14:47:25Z</dcterms:created>
  <dcterms:modified xsi:type="dcterms:W3CDTF">2026-02-23T14:47:25Z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LastSaved">
    <vt:filetime>2026-02-23T00:00:00Z</vt:filetime>
  </property>
  <property fmtid="{D5CDD505-2E9C-101B-9397-08002B2CF9AE}" pid="4" name="Producer">
    <vt:lpwstr>Microsoft: Print To PDF</vt:lpwstr>
  </property>
</Properties>
</file>